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58" w:rsidRPr="007B4E58" w:rsidRDefault="007B4E58" w:rsidP="007B4E58">
      <w:pPr>
        <w:pStyle w:val="Heading1"/>
        <w:spacing w:line="285" w:lineRule="atLeast"/>
        <w:rPr>
          <w:rFonts w:ascii="Georgia" w:hAnsi="Georgia"/>
          <w:color w:val="333333"/>
        </w:rPr>
      </w:pPr>
      <w:r>
        <w:rPr>
          <w:rFonts w:ascii="Georgia" w:hAnsi="Georgia"/>
          <w:color w:val="008000"/>
        </w:rPr>
        <w:t>Energy Performance Certificate Changes from 9</w:t>
      </w:r>
      <w:r>
        <w:rPr>
          <w:rStyle w:val="apple-converted-space"/>
          <w:rFonts w:ascii="Georgia" w:hAnsi="Georgia"/>
          <w:color w:val="008000"/>
        </w:rPr>
        <w:t> </w:t>
      </w:r>
      <w:r w:rsidRPr="007B4E58">
        <w:rPr>
          <w:rFonts w:ascii="Georgia" w:hAnsi="Georgia"/>
          <w:color w:val="008000"/>
        </w:rPr>
        <w:t>January 2013</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b/>
          <w:bCs/>
          <w:color w:val="008000"/>
          <w:sz w:val="20"/>
          <w:szCs w:val="20"/>
          <w:lang w:eastAsia="en-GB"/>
        </w:rPr>
        <w:t>Previous guidance has required an energy performance certificate for both residential and non-residential buildings when they are being sold or rented. However, from 9 January 2013 all advertisements for either selling or renting property must clearly show the energy rating of the building.</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b/>
          <w:bCs/>
          <w:color w:val="333333"/>
          <w:sz w:val="20"/>
          <w:szCs w:val="20"/>
          <w:lang w:eastAsia="en-GB"/>
        </w:rPr>
        <w:t> </w:t>
      </w:r>
      <w:r w:rsidRPr="007B4E58">
        <w:rPr>
          <w:rFonts w:ascii="Georgia" w:eastAsia="Times New Roman" w:hAnsi="Georgia" w:cs="Times New Roman"/>
          <w:color w:val="333333"/>
          <w:sz w:val="20"/>
          <w:szCs w:val="20"/>
          <w:lang w:eastAsia="en-GB"/>
        </w:rPr>
        <w:t>The previous energy performance certificate (EPC) Regulations required a copy of the first page of the EPC to be attached to written particulars for any building that was available for sale or rent. The new regulations requires any advertisement in commercial media for the sale or rental of a building or a building unit (whether residential or non-residen</w:t>
      </w:r>
      <w:bookmarkStart w:id="0" w:name="_GoBack"/>
      <w:bookmarkEnd w:id="0"/>
      <w:r w:rsidRPr="007B4E58">
        <w:rPr>
          <w:rFonts w:ascii="Georgia" w:eastAsia="Times New Roman" w:hAnsi="Georgia" w:cs="Times New Roman"/>
          <w:color w:val="333333"/>
          <w:sz w:val="20"/>
          <w:szCs w:val="20"/>
          <w:lang w:eastAsia="en-GB"/>
        </w:rPr>
        <w:t>tial) to state the asset rating of the building as shown on the EPC for the building.</w:t>
      </w:r>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33"/>
          <w:szCs w:val="33"/>
          <w:lang w:eastAsia="en-GB"/>
        </w:rPr>
        <w:t>Changes:</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There are now more onerous requirements on EPCs and the following changes came into force on 9 January 2013:</w:t>
      </w:r>
    </w:p>
    <w:p w:rsidR="007B4E58" w:rsidRPr="007B4E58" w:rsidRDefault="007B4E58" w:rsidP="007B4E58">
      <w:pPr>
        <w:numPr>
          <w:ilvl w:val="0"/>
          <w:numId w:val="1"/>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seller or landlord must provide an EPC free of charge to a prospective buyer or tenant at the earliest opportunity. A copy of the EPC must also be provided to the successful buyer or the person who takes up the tenancy.</w:t>
      </w:r>
    </w:p>
    <w:p w:rsidR="007B4E58" w:rsidRPr="007B4E58" w:rsidRDefault="007B4E58" w:rsidP="007B4E58">
      <w:pPr>
        <w:numPr>
          <w:ilvl w:val="0"/>
          <w:numId w:val="1"/>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Estate agents and other third parties must ensure that an EPC has been commissioned before they can market a property for sale or rent.</w:t>
      </w:r>
    </w:p>
    <w:p w:rsidR="007B4E58" w:rsidRPr="007B4E58" w:rsidRDefault="007B4E58" w:rsidP="007B4E58">
      <w:pPr>
        <w:numPr>
          <w:ilvl w:val="0"/>
          <w:numId w:val="1"/>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In addition, all advertisements in the commercial media must clearly show the energy rating of the building (where available).</w:t>
      </w:r>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28"/>
          <w:szCs w:val="28"/>
          <w:lang w:eastAsia="en-GB"/>
        </w:rPr>
        <w:t> </w:t>
      </w:r>
      <w:r w:rsidRPr="007B4E58">
        <w:rPr>
          <w:rFonts w:ascii="Georgia" w:eastAsia="Times New Roman" w:hAnsi="Georgia" w:cs="Times New Roman"/>
          <w:b/>
          <w:bCs/>
          <w:color w:val="333333"/>
          <w:sz w:val="33"/>
          <w:szCs w:val="33"/>
          <w:lang w:eastAsia="en-GB"/>
        </w:rPr>
        <w:t>What are “commercial media”?</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2012 EPC Regulations do not define the term, but the guidance defines commercial media as</w:t>
      </w:r>
    </w:p>
    <w:p w:rsidR="007B4E58" w:rsidRPr="007B4E58" w:rsidRDefault="007B4E58" w:rsidP="007B4E58">
      <w:pPr>
        <w:numPr>
          <w:ilvl w:val="0"/>
          <w:numId w:val="2"/>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Newspapers.</w:t>
      </w:r>
    </w:p>
    <w:p w:rsidR="007B4E58" w:rsidRPr="007B4E58" w:rsidRDefault="007B4E58" w:rsidP="007B4E58">
      <w:pPr>
        <w:numPr>
          <w:ilvl w:val="0"/>
          <w:numId w:val="3"/>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Magazines.</w:t>
      </w:r>
    </w:p>
    <w:p w:rsidR="007B4E58" w:rsidRPr="007B4E58" w:rsidRDefault="007B4E58" w:rsidP="007B4E58">
      <w:pPr>
        <w:numPr>
          <w:ilvl w:val="0"/>
          <w:numId w:val="3"/>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 xml:space="preserve">The internet. This will include sites such as Right Move, </w:t>
      </w:r>
      <w:proofErr w:type="spellStart"/>
      <w:r w:rsidRPr="007B4E58">
        <w:rPr>
          <w:rFonts w:ascii="Georgia" w:eastAsia="Times New Roman" w:hAnsi="Georgia" w:cs="Times New Roman"/>
          <w:color w:val="333333"/>
          <w:sz w:val="20"/>
          <w:szCs w:val="20"/>
          <w:lang w:eastAsia="en-GB"/>
        </w:rPr>
        <w:t>Zoopla</w:t>
      </w:r>
      <w:proofErr w:type="spellEnd"/>
      <w:r w:rsidRPr="007B4E58">
        <w:rPr>
          <w:rFonts w:ascii="Georgia" w:eastAsia="Times New Roman" w:hAnsi="Georgia" w:cs="Times New Roman"/>
          <w:color w:val="333333"/>
          <w:sz w:val="20"/>
          <w:szCs w:val="20"/>
          <w:lang w:eastAsia="en-GB"/>
        </w:rPr>
        <w:t xml:space="preserve"> and Prime Location but it may extend more widely.</w:t>
      </w:r>
    </w:p>
    <w:p w:rsidR="007B4E58" w:rsidRPr="007B4E58" w:rsidRDefault="007B4E58" w:rsidP="007B4E58">
      <w:pPr>
        <w:numPr>
          <w:ilvl w:val="0"/>
          <w:numId w:val="3"/>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 xml:space="preserve">Written material produced by the seller/landlord/estate agent that describes the building being offered for sale or rent. This would likely include estate agents' sales particulars, flyers and window cards. But it is unclear whether this would extend to a "For Sale" card displayed in a newsagent's window; the bulletin board of a supermarket, or an entry on </w:t>
      </w:r>
      <w:proofErr w:type="spellStart"/>
      <w:r w:rsidRPr="007B4E58">
        <w:rPr>
          <w:rFonts w:ascii="Georgia" w:eastAsia="Times New Roman" w:hAnsi="Georgia" w:cs="Times New Roman"/>
          <w:color w:val="333333"/>
          <w:sz w:val="20"/>
          <w:szCs w:val="20"/>
          <w:lang w:eastAsia="en-GB"/>
        </w:rPr>
        <w:t>Gumtree</w:t>
      </w:r>
      <w:proofErr w:type="spellEnd"/>
      <w:r w:rsidRPr="007B4E58">
        <w:rPr>
          <w:rFonts w:ascii="Georgia" w:eastAsia="Times New Roman" w:hAnsi="Georgia" w:cs="Times New Roman"/>
          <w:color w:val="333333"/>
          <w:sz w:val="20"/>
          <w:szCs w:val="20"/>
          <w:lang w:eastAsia="en-GB"/>
        </w:rPr>
        <w:t xml:space="preserve"> relating to a flat to rent</w:t>
      </w:r>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28"/>
          <w:szCs w:val="28"/>
          <w:lang w:eastAsia="en-GB"/>
        </w:rPr>
        <w:t>What is the energy or asset rating?</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Article 12 of the Recast EPC Directive merely requires the advertisement to include the energy performance indicator.</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lastRenderedPageBreak/>
        <w:t>The Impact Assessment identified three options for the energy performance indicator:</w:t>
      </w:r>
    </w:p>
    <w:p w:rsidR="007B4E58" w:rsidRPr="007B4E58" w:rsidRDefault="007B4E58" w:rsidP="007B4E58">
      <w:pPr>
        <w:numPr>
          <w:ilvl w:val="0"/>
          <w:numId w:val="4"/>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full graph,</w:t>
      </w:r>
    </w:p>
    <w:p w:rsidR="007B4E58" w:rsidRPr="007B4E58" w:rsidRDefault="007B4E58" w:rsidP="007B4E58">
      <w:pPr>
        <w:numPr>
          <w:ilvl w:val="0"/>
          <w:numId w:val="4"/>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letter on the A-G scale or</w:t>
      </w:r>
    </w:p>
    <w:p w:rsidR="007B4E58" w:rsidRPr="007B4E58" w:rsidRDefault="007B4E58" w:rsidP="007B4E58">
      <w:pPr>
        <w:numPr>
          <w:ilvl w:val="0"/>
          <w:numId w:val="4"/>
        </w:num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7B4E58">
        <w:rPr>
          <w:rFonts w:ascii="Georgia" w:eastAsia="Times New Roman" w:hAnsi="Georgia" w:cs="Times New Roman"/>
          <w:color w:val="333333"/>
          <w:sz w:val="20"/>
          <w:szCs w:val="20"/>
          <w:lang w:eastAsia="en-GB"/>
        </w:rPr>
        <w:t>the</w:t>
      </w:r>
      <w:proofErr w:type="gramEnd"/>
      <w:r w:rsidRPr="007B4E58">
        <w:rPr>
          <w:rFonts w:ascii="Georgia" w:eastAsia="Times New Roman" w:hAnsi="Georgia" w:cs="Times New Roman"/>
          <w:color w:val="333333"/>
          <w:sz w:val="20"/>
          <w:szCs w:val="20"/>
          <w:lang w:eastAsia="en-GB"/>
        </w:rPr>
        <w:t xml:space="preserve"> numeric figure for the energy efficiency rating.</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All could be taken from the EPC.</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However, regulation 11 does not refer to the energy performance indicator (which could take these several forms). It refers instead to the asset rating, which must be numerical. It is therefore unclear whether stating the A-G rating alone will satisfy regulation 11.</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This confusion is compounded by the 2012 DCLG guidance, which is inconsistent. For example, in the guidance on EPCs for non-dwellings:</w:t>
      </w:r>
    </w:p>
    <w:p w:rsidR="007B4E58" w:rsidRPr="007B4E58" w:rsidRDefault="007B4E58" w:rsidP="007B4E58">
      <w:pPr>
        <w:numPr>
          <w:ilvl w:val="0"/>
          <w:numId w:val="5"/>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 xml:space="preserve">Page 8 says the advertisement should show the EPC rating of the </w:t>
      </w:r>
      <w:proofErr w:type="gramStart"/>
      <w:r w:rsidRPr="007B4E58">
        <w:rPr>
          <w:rFonts w:ascii="Georgia" w:eastAsia="Times New Roman" w:hAnsi="Georgia" w:cs="Times New Roman"/>
          <w:color w:val="333333"/>
          <w:sz w:val="20"/>
          <w:szCs w:val="20"/>
          <w:lang w:eastAsia="en-GB"/>
        </w:rPr>
        <w:t>property  -</w:t>
      </w:r>
      <w:proofErr w:type="gramEnd"/>
      <w:r w:rsidRPr="007B4E58">
        <w:rPr>
          <w:rFonts w:ascii="Georgia" w:eastAsia="Times New Roman" w:hAnsi="Georgia" w:cs="Times New Roman"/>
          <w:color w:val="333333"/>
          <w:sz w:val="20"/>
          <w:szCs w:val="20"/>
          <w:lang w:eastAsia="en-GB"/>
        </w:rPr>
        <w:t xml:space="preserve"> the A-G rating - and that where there is adequate space, the advertisement should show the full A-G graph.</w:t>
      </w:r>
    </w:p>
    <w:p w:rsidR="007B4E58" w:rsidRPr="007B4E58" w:rsidRDefault="007B4E58" w:rsidP="007B4E58">
      <w:pPr>
        <w:numPr>
          <w:ilvl w:val="0"/>
          <w:numId w:val="5"/>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Page 11 says the advertisement must state the asset rating – which is the number</w:t>
      </w:r>
    </w:p>
    <w:p w:rsidR="007B4E58" w:rsidRPr="007B4E58" w:rsidRDefault="007B4E58" w:rsidP="007B4E58">
      <w:pPr>
        <w:numPr>
          <w:ilvl w:val="0"/>
          <w:numId w:val="5"/>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Page 34 FAQs state that the advertisement should include the energy performance indicator, which is the name for any of</w:t>
      </w:r>
    </w:p>
    <w:p w:rsidR="007B4E58" w:rsidRPr="007B4E58" w:rsidRDefault="007B4E58" w:rsidP="007B4E58">
      <w:pPr>
        <w:numPr>
          <w:ilvl w:val="1"/>
          <w:numId w:val="5"/>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full graph,</w:t>
      </w:r>
    </w:p>
    <w:p w:rsidR="007B4E58" w:rsidRPr="007B4E58" w:rsidRDefault="007B4E58" w:rsidP="007B4E58">
      <w:pPr>
        <w:numPr>
          <w:ilvl w:val="1"/>
          <w:numId w:val="5"/>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letter on the A-G scale and</w:t>
      </w:r>
    </w:p>
    <w:p w:rsidR="007B4E58" w:rsidRPr="007B4E58" w:rsidRDefault="007B4E58" w:rsidP="007B4E58">
      <w:pPr>
        <w:numPr>
          <w:ilvl w:val="1"/>
          <w:numId w:val="5"/>
        </w:num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7B4E58">
        <w:rPr>
          <w:rFonts w:ascii="Georgia" w:eastAsia="Times New Roman" w:hAnsi="Georgia" w:cs="Times New Roman"/>
          <w:color w:val="333333"/>
          <w:sz w:val="20"/>
          <w:szCs w:val="20"/>
          <w:lang w:eastAsia="en-GB"/>
        </w:rPr>
        <w:t>the</w:t>
      </w:r>
      <w:proofErr w:type="gramEnd"/>
      <w:r w:rsidRPr="007B4E58">
        <w:rPr>
          <w:rFonts w:ascii="Georgia" w:eastAsia="Times New Roman" w:hAnsi="Georgia" w:cs="Times New Roman"/>
          <w:color w:val="333333"/>
          <w:sz w:val="20"/>
          <w:szCs w:val="20"/>
          <w:lang w:eastAsia="en-GB"/>
        </w:rPr>
        <w:t xml:space="preserve"> numeric figure for the energy efficiency rating.</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It does not indicate whether the letter, the number, or the full graph is permissible.</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At present it is unclear as to how strictly these will be enforced as to what is sufficient for the regulations. For the avoidance of doubt it is best to take a more is best approach to giving EPC information.</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 </w:t>
      </w:r>
    </w:p>
    <w:p w:rsidR="007B4E58" w:rsidRPr="007B4E58" w:rsidRDefault="007B4E58" w:rsidP="007B4E58">
      <w:pPr>
        <w:spacing w:before="100" w:beforeAutospacing="1" w:after="100" w:afterAutospacing="1" w:line="285" w:lineRule="atLeast"/>
        <w:outlineLvl w:val="1"/>
        <w:rPr>
          <w:rFonts w:ascii="Georgia" w:eastAsia="Times New Roman" w:hAnsi="Georgia" w:cs="Times New Roman"/>
          <w:b/>
          <w:bCs/>
          <w:color w:val="333333"/>
          <w:sz w:val="36"/>
          <w:szCs w:val="36"/>
          <w:lang w:eastAsia="en-GB"/>
        </w:rPr>
      </w:pPr>
      <w:r w:rsidRPr="007B4E58">
        <w:rPr>
          <w:rFonts w:ascii="Georgia" w:eastAsia="Times New Roman" w:hAnsi="Georgia" w:cs="Times New Roman"/>
          <w:b/>
          <w:bCs/>
          <w:color w:val="008000"/>
          <w:sz w:val="36"/>
          <w:szCs w:val="36"/>
          <w:lang w:eastAsia="en-GB"/>
        </w:rPr>
        <w:t>Displaying an EPC in non-residential buildings frequently visited by the public</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If you occupy a building frequently visited by the public there are new obligations on you to display an EPC. It is a totally new obligation and applies to non-dwellings only (this may or may not be the same as non-residential buildings).</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It requires the display of a valid EPC in a prominent place clearly visible to members of the public who visit the building. This obligation applies to building occupiers of all types (private individuals, companies or trusts and public authorities).</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regulation is poorly worded, and raises a lot of questions. Only a few of these are answered by the accompanying guidance.</w:t>
      </w:r>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28"/>
          <w:szCs w:val="28"/>
          <w:lang w:eastAsia="en-GB"/>
        </w:rPr>
        <w:t>When does the obligation arise?</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lastRenderedPageBreak/>
        <w:t xml:space="preserve">The obligation applies only if each of the following tests </w:t>
      </w:r>
      <w:proofErr w:type="gramStart"/>
      <w:r w:rsidRPr="007B4E58">
        <w:rPr>
          <w:rFonts w:ascii="Georgia" w:eastAsia="Times New Roman" w:hAnsi="Georgia" w:cs="Times New Roman"/>
          <w:color w:val="333333"/>
          <w:sz w:val="20"/>
          <w:szCs w:val="20"/>
          <w:lang w:eastAsia="en-GB"/>
        </w:rPr>
        <w:t>are</w:t>
      </w:r>
      <w:proofErr w:type="gramEnd"/>
      <w:r w:rsidRPr="007B4E58">
        <w:rPr>
          <w:rFonts w:ascii="Georgia" w:eastAsia="Times New Roman" w:hAnsi="Georgia" w:cs="Times New Roman"/>
          <w:color w:val="333333"/>
          <w:sz w:val="20"/>
          <w:szCs w:val="20"/>
          <w:lang w:eastAsia="en-GB"/>
        </w:rPr>
        <w:t xml:space="preserve"> satisfied:</w:t>
      </w:r>
    </w:p>
    <w:p w:rsidR="007B4E58" w:rsidRPr="007B4E58" w:rsidRDefault="007B4E58" w:rsidP="007B4E58">
      <w:pPr>
        <w:numPr>
          <w:ilvl w:val="0"/>
          <w:numId w:val="6"/>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building is not a dwelling</w:t>
      </w:r>
    </w:p>
    <w:p w:rsidR="007B4E58" w:rsidRPr="007B4E58" w:rsidRDefault="007B4E58" w:rsidP="007B4E58">
      <w:pPr>
        <w:numPr>
          <w:ilvl w:val="0"/>
          <w:numId w:val="6"/>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building has a total useful floor area of more than 500 m2.</w:t>
      </w:r>
    </w:p>
    <w:p w:rsidR="007B4E58" w:rsidRPr="007B4E58" w:rsidRDefault="007B4E58" w:rsidP="007B4E58">
      <w:pPr>
        <w:numPr>
          <w:ilvl w:val="0"/>
          <w:numId w:val="6"/>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building is frequently visited by the public. Being a building which the public has an implied or express licence to enter and which is regularly visited by members of the public on a daily or near daily basis. The guidance gives, as examples, shops and restaurants, and contrasts them with office blocks, factories and other commercial buildings. No guidance is given on whether access should be unrestricted, such that people who require an entry pass, or to sign in with the security guard, in order to access a building, cease to be members of the public.</w:t>
      </w:r>
    </w:p>
    <w:p w:rsidR="007B4E58" w:rsidRPr="007B4E58" w:rsidRDefault="007B4E58" w:rsidP="007B4E58">
      <w:pPr>
        <w:numPr>
          <w:ilvl w:val="0"/>
          <w:numId w:val="6"/>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An EPC was provided under either as a prospective purchaser or tenant or under as a newly built or altered property</w:t>
      </w:r>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28"/>
          <w:szCs w:val="28"/>
          <w:lang w:eastAsia="en-GB"/>
        </w:rPr>
        <w:t>Penalties:</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There is a fixed penalty of £200 for failing to provide an EPC. Whilst not massive for landlords, for letting agents, if they are not displaying the EPC Graph on their window adverts, that will incur a £200 per advert charge – i.e. possibly running into £1,000s!</w:t>
      </w:r>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28"/>
          <w:szCs w:val="28"/>
          <w:lang w:eastAsia="en-GB"/>
        </w:rPr>
        <w:t>Exemptions:</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relevant person will not be liable to a penalty charge notice in a sale or rental:</w:t>
      </w:r>
    </w:p>
    <w:p w:rsidR="007B4E58" w:rsidRPr="007B4E58" w:rsidRDefault="007B4E58" w:rsidP="007B4E58">
      <w:pPr>
        <w:numPr>
          <w:ilvl w:val="0"/>
          <w:numId w:val="7"/>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Where a request for an EPC has been made the landlord who is to provide the EPC has made the request for an EPC as soon as possible and despite all reasonable efforts and enquiries, a valid EPC is not in his possession. The EPC should nonetheless be made available to prospective tenants as soon as the landlord has it; or in the case of rental buildings where a prospective tenant was seeking to rent the building in an emergency requiring his urgent relocation the landlord did not have in his possession a valid EPC at the time of letting;</w:t>
      </w:r>
    </w:p>
    <w:p w:rsidR="007B4E58" w:rsidRPr="007B4E58" w:rsidRDefault="007B4E58" w:rsidP="007B4E58">
      <w:pPr>
        <w:numPr>
          <w:ilvl w:val="0"/>
          <w:numId w:val="7"/>
        </w:num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There was insufficient time for the prospective landlord to be reasonably expected to have obtained an EPC before letting the building; and the landlord has given a valid EPC to the tenant as soon as reasonably practicable after letting the building.</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For further guidance please read the full regulations</w:t>
      </w:r>
      <w:proofErr w:type="gramStart"/>
      <w:r w:rsidRPr="007B4E58">
        <w:rPr>
          <w:rFonts w:ascii="Georgia" w:eastAsia="Times New Roman" w:hAnsi="Georgia" w:cs="Times New Roman"/>
          <w:color w:val="333333"/>
          <w:sz w:val="20"/>
          <w:szCs w:val="20"/>
          <w:lang w:eastAsia="en-GB"/>
        </w:rPr>
        <w:t>:-</w:t>
      </w:r>
      <w:proofErr w:type="gramEnd"/>
      <w:r w:rsidRPr="007B4E58">
        <w:rPr>
          <w:rFonts w:ascii="Georgia" w:eastAsia="Times New Roman" w:hAnsi="Georgia" w:cs="Times New Roman"/>
          <w:color w:val="333333"/>
          <w:sz w:val="20"/>
          <w:szCs w:val="20"/>
          <w:lang w:eastAsia="en-GB"/>
        </w:rPr>
        <w:t xml:space="preserve">  </w:t>
      </w:r>
      <w:hyperlink r:id="rId6" w:tooltip="Energy Performance of Buildings (England and Wales) Regulations 2012" w:history="1">
        <w:r w:rsidRPr="007B4E58">
          <w:rPr>
            <w:rFonts w:ascii="Georgia" w:eastAsia="Times New Roman" w:hAnsi="Georgia" w:cs="Times New Roman"/>
            <w:color w:val="0000FF"/>
            <w:sz w:val="20"/>
            <w:szCs w:val="20"/>
            <w:u w:val="single"/>
            <w:lang w:eastAsia="en-GB"/>
          </w:rPr>
          <w:t>The Energy Performance of Buildings (England and Wales) Regulations 2012</w:t>
        </w:r>
      </w:hyperlink>
    </w:p>
    <w:p w:rsidR="007B4E58" w:rsidRPr="007B4E58" w:rsidRDefault="007B4E58" w:rsidP="007B4E58">
      <w:pPr>
        <w:spacing w:before="100" w:beforeAutospacing="1" w:after="100" w:afterAutospacing="1" w:line="285" w:lineRule="atLeast"/>
        <w:outlineLvl w:val="2"/>
        <w:rPr>
          <w:rFonts w:ascii="Georgia" w:eastAsia="Times New Roman" w:hAnsi="Georgia" w:cs="Times New Roman"/>
          <w:b/>
          <w:bCs/>
          <w:color w:val="333333"/>
          <w:sz w:val="28"/>
          <w:szCs w:val="28"/>
          <w:lang w:eastAsia="en-GB"/>
        </w:rPr>
      </w:pPr>
      <w:r w:rsidRPr="007B4E58">
        <w:rPr>
          <w:rFonts w:ascii="Georgia" w:eastAsia="Times New Roman" w:hAnsi="Georgia" w:cs="Times New Roman"/>
          <w:b/>
          <w:bCs/>
          <w:color w:val="333333"/>
          <w:sz w:val="28"/>
          <w:szCs w:val="28"/>
          <w:lang w:eastAsia="en-GB"/>
        </w:rPr>
        <w:t>UPDATE</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Department for Communities and Local Government have confirmed the approach to enforcement of regulations 10 and 11 will be observed voluntarily. As such the new regime does not confer express powers of enforcement, or penalties for breach, of the two duties introduced by that regime explained above.</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This is consistent with the government's general deregulatory approach.</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lastRenderedPageBreak/>
        <w:t>However, if it is found that a voluntary approach is not working, Department for Communities and Local Government has indicated that it will reconsider the need for specific enforcement powers and penalties in respect of those regulations.</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color w:val="333333"/>
          <w:sz w:val="20"/>
          <w:szCs w:val="20"/>
          <w:lang w:eastAsia="en-GB"/>
        </w:rPr>
        <w:t>The Penalties detailed above are said to be "suggested penalties" for those who do not voluntarily observe the new regulation.</w:t>
      </w:r>
    </w:p>
    <w:p w:rsidR="007B4E58" w:rsidRPr="007B4E58" w:rsidRDefault="007B4E58" w:rsidP="007B4E58">
      <w:pPr>
        <w:spacing w:before="100" w:beforeAutospacing="1" w:after="100" w:afterAutospacing="1" w:line="285" w:lineRule="atLeast"/>
        <w:rPr>
          <w:rFonts w:ascii="Georgia" w:eastAsia="Times New Roman" w:hAnsi="Georgia" w:cs="Times New Roman"/>
          <w:color w:val="333333"/>
          <w:sz w:val="20"/>
          <w:szCs w:val="20"/>
          <w:lang w:eastAsia="en-GB"/>
        </w:rPr>
      </w:pPr>
      <w:r w:rsidRPr="007B4E58">
        <w:rPr>
          <w:rFonts w:ascii="Georgia" w:eastAsia="Times New Roman" w:hAnsi="Georgia" w:cs="Times New Roman"/>
          <w:b/>
          <w:bCs/>
          <w:color w:val="008000"/>
          <w:sz w:val="20"/>
          <w:szCs w:val="20"/>
          <w:lang w:eastAsia="en-GB"/>
        </w:rPr>
        <w:t>We will update this article as more guidance becomes available so please keep checking back with us. Alternatively, sign up to our legal and business update</w:t>
      </w:r>
      <w:proofErr w:type="gramStart"/>
      <w:r w:rsidRPr="007B4E58">
        <w:rPr>
          <w:rFonts w:ascii="Georgia" w:eastAsia="Times New Roman" w:hAnsi="Georgia" w:cs="Times New Roman"/>
          <w:b/>
          <w:bCs/>
          <w:color w:val="008000"/>
          <w:sz w:val="20"/>
          <w:szCs w:val="20"/>
          <w:lang w:eastAsia="en-GB"/>
        </w:rPr>
        <w:t>  using</w:t>
      </w:r>
      <w:proofErr w:type="gramEnd"/>
      <w:r w:rsidRPr="007B4E58">
        <w:rPr>
          <w:rFonts w:ascii="Georgia" w:eastAsia="Times New Roman" w:hAnsi="Georgia" w:cs="Times New Roman"/>
          <w:b/>
          <w:bCs/>
          <w:color w:val="008000"/>
          <w:sz w:val="20"/>
          <w:szCs w:val="20"/>
          <w:lang w:eastAsia="en-GB"/>
        </w:rPr>
        <w:t xml:space="preserve"> the form on the bottom right of the screen.</w:t>
      </w:r>
    </w:p>
    <w:p w:rsidR="0052016C" w:rsidRDefault="0052016C"/>
    <w:sectPr w:rsidR="00520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762"/>
    <w:multiLevelType w:val="multilevel"/>
    <w:tmpl w:val="8D32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C046E"/>
    <w:multiLevelType w:val="multilevel"/>
    <w:tmpl w:val="216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82FE1"/>
    <w:multiLevelType w:val="multilevel"/>
    <w:tmpl w:val="F8DC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AA689C"/>
    <w:multiLevelType w:val="multilevel"/>
    <w:tmpl w:val="DE20F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332627"/>
    <w:multiLevelType w:val="multilevel"/>
    <w:tmpl w:val="D66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071DA7"/>
    <w:multiLevelType w:val="multilevel"/>
    <w:tmpl w:val="6CFE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83C4D"/>
    <w:multiLevelType w:val="multilevel"/>
    <w:tmpl w:val="3C20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58"/>
    <w:rsid w:val="0052016C"/>
    <w:rsid w:val="007B4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4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B4E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B4E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5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B4E5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4E5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B4E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4E58"/>
    <w:rPr>
      <w:b/>
      <w:bCs/>
    </w:rPr>
  </w:style>
  <w:style w:type="character" w:styleId="Hyperlink">
    <w:name w:val="Hyperlink"/>
    <w:basedOn w:val="DefaultParagraphFont"/>
    <w:uiPriority w:val="99"/>
    <w:semiHidden/>
    <w:unhideWhenUsed/>
    <w:rsid w:val="007B4E58"/>
    <w:rPr>
      <w:color w:val="0000FF"/>
      <w:u w:val="single"/>
    </w:rPr>
  </w:style>
  <w:style w:type="character" w:customStyle="1" w:styleId="apple-converted-space">
    <w:name w:val="apple-converted-space"/>
    <w:basedOn w:val="DefaultParagraphFont"/>
    <w:rsid w:val="007B4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4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B4E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B4E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5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B4E5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4E5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B4E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4E58"/>
    <w:rPr>
      <w:b/>
      <w:bCs/>
    </w:rPr>
  </w:style>
  <w:style w:type="character" w:styleId="Hyperlink">
    <w:name w:val="Hyperlink"/>
    <w:basedOn w:val="DefaultParagraphFont"/>
    <w:uiPriority w:val="99"/>
    <w:semiHidden/>
    <w:unhideWhenUsed/>
    <w:rsid w:val="007B4E58"/>
    <w:rPr>
      <w:color w:val="0000FF"/>
      <w:u w:val="single"/>
    </w:rPr>
  </w:style>
  <w:style w:type="character" w:customStyle="1" w:styleId="apple-converted-space">
    <w:name w:val="apple-converted-space"/>
    <w:basedOn w:val="DefaultParagraphFont"/>
    <w:rsid w:val="007B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3678">
      <w:bodyDiv w:val="1"/>
      <w:marLeft w:val="0"/>
      <w:marRight w:val="0"/>
      <w:marTop w:val="0"/>
      <w:marBottom w:val="0"/>
      <w:divBdr>
        <w:top w:val="none" w:sz="0" w:space="0" w:color="auto"/>
        <w:left w:val="none" w:sz="0" w:space="0" w:color="auto"/>
        <w:bottom w:val="none" w:sz="0" w:space="0" w:color="auto"/>
        <w:right w:val="none" w:sz="0" w:space="0" w:color="auto"/>
      </w:divBdr>
    </w:div>
    <w:div w:id="45024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2/3118/ma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Kingsland</dc:creator>
  <cp:lastModifiedBy>Kingsland</cp:lastModifiedBy>
  <cp:revision>1</cp:revision>
  <dcterms:created xsi:type="dcterms:W3CDTF">2013-03-15T11:55:00Z</dcterms:created>
  <dcterms:modified xsi:type="dcterms:W3CDTF">2013-03-15T11:55:00Z</dcterms:modified>
</cp:coreProperties>
</file>